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E5" w:rsidRDefault="003B0DE5" w:rsidP="003B0DE5">
      <w:pPr>
        <w:pStyle w:val="Style4"/>
        <w:outlineLvl w:val="3"/>
        <w:rPr>
          <w:lang w:val="pt-BR"/>
        </w:rPr>
      </w:pPr>
      <w:bookmarkStart w:id="0" w:name="_Toc441822154"/>
      <w:bookmarkStart w:id="1" w:name="_Toc452474254"/>
      <w:bookmarkStart w:id="2" w:name="_GoBack"/>
      <w:r>
        <w:rPr>
          <w:rFonts w:eastAsia="Times New Roman"/>
          <w:bCs/>
          <w:lang w:val="pt-BR"/>
        </w:rPr>
        <w:t xml:space="preserve">1. </w:t>
      </w:r>
      <w:bookmarkStart w:id="3" w:name="_Toc441822155"/>
      <w:bookmarkEnd w:id="0"/>
      <w:r>
        <w:rPr>
          <w:lang w:val="pt-BR"/>
        </w:rPr>
        <w:t>Thủ tục cấp giấy phép khai quật khẩn cấp</w:t>
      </w:r>
      <w:bookmarkEnd w:id="1"/>
      <w:bookmarkEnd w:id="3"/>
    </w:p>
    <w:p w:rsidR="003B0DE5" w:rsidRDefault="003B0DE5" w:rsidP="003B0DE5">
      <w:pPr>
        <w:spacing w:before="120"/>
        <w:ind w:firstLine="567"/>
        <w:outlineLvl w:val="0"/>
        <w:rPr>
          <w:i/>
          <w:sz w:val="28"/>
          <w:szCs w:val="28"/>
          <w:lang w:val="pt-BR"/>
        </w:rPr>
      </w:pPr>
      <w:bookmarkStart w:id="4" w:name="_Toc450634753"/>
      <w:bookmarkStart w:id="5" w:name="_Toc450636930"/>
      <w:bookmarkStart w:id="6" w:name="_Toc452474255"/>
      <w:r>
        <w:rPr>
          <w:rFonts w:ascii=".VnTime" w:hAnsi=".VnTime"/>
          <w:i/>
          <w:sz w:val="28"/>
          <w:szCs w:val="28"/>
          <w:lang w:val="pt-BR"/>
        </w:rPr>
        <w:t xml:space="preserve">a. </w:t>
      </w:r>
      <w:r>
        <w:rPr>
          <w:i/>
          <w:sz w:val="28"/>
          <w:szCs w:val="28"/>
          <w:lang w:val="pt-BR"/>
        </w:rPr>
        <w:t>Trình tự thực hiện:</w:t>
      </w:r>
      <w:bookmarkEnd w:id="4"/>
      <w:bookmarkEnd w:id="5"/>
      <w:bookmarkEnd w:id="6"/>
      <w:r>
        <w:rPr>
          <w:i/>
          <w:sz w:val="28"/>
          <w:szCs w:val="28"/>
          <w:lang w:val="pt-BR"/>
        </w:rPr>
        <w:t xml:space="preserve"> </w:t>
      </w:r>
    </w:p>
    <w:p w:rsidR="003B0DE5" w:rsidRDefault="003B0DE5" w:rsidP="003B0DE5">
      <w:pPr>
        <w:spacing w:before="120"/>
        <w:ind w:firstLine="567"/>
        <w:rPr>
          <w:sz w:val="28"/>
          <w:szCs w:val="28"/>
          <w:lang w:val="pt-BR"/>
        </w:rPr>
      </w:pPr>
      <w:r>
        <w:rPr>
          <w:sz w:val="28"/>
          <w:szCs w:val="28"/>
          <w:lang w:val="pt-BR"/>
        </w:rPr>
        <w:t xml:space="preserve">- </w:t>
      </w:r>
      <w:r>
        <w:rPr>
          <w:sz w:val="28"/>
          <w:szCs w:val="28"/>
          <w:lang w:val="vi-VN"/>
        </w:rPr>
        <w:t>Tổ chức</w:t>
      </w:r>
      <w:r>
        <w:rPr>
          <w:sz w:val="28"/>
          <w:szCs w:val="28"/>
        </w:rPr>
        <w:t xml:space="preserve">, cá nhân </w:t>
      </w:r>
      <w:r>
        <w:rPr>
          <w:sz w:val="28"/>
          <w:szCs w:val="28"/>
          <w:lang w:val="vi-VN"/>
        </w:rPr>
        <w:t xml:space="preserve">xin cấp giấy phép khai quật khẩn cấp gửi </w:t>
      </w:r>
      <w:r>
        <w:rPr>
          <w:sz w:val="28"/>
          <w:szCs w:val="28"/>
          <w:lang w:val="pt-BR"/>
        </w:rPr>
        <w:t xml:space="preserve">01 bộ </w:t>
      </w:r>
      <w:r>
        <w:rPr>
          <w:sz w:val="28"/>
          <w:szCs w:val="28"/>
          <w:lang w:val="vi-VN"/>
        </w:rPr>
        <w:t xml:space="preserve">hồ sơ đến </w:t>
      </w:r>
      <w:r>
        <w:rPr>
          <w:sz w:val="28"/>
          <w:szCs w:val="28"/>
          <w:lang w:val="pt-BR"/>
        </w:rPr>
        <w:t>Bộ phận tiếp nhận và trả kết quả - Sở Văn hoá, Thể thao và Du lịch Phú Thọ.</w:t>
      </w:r>
    </w:p>
    <w:p w:rsidR="003B0DE5" w:rsidRDefault="003B0DE5" w:rsidP="003B0DE5">
      <w:pPr>
        <w:spacing w:before="120"/>
        <w:ind w:firstLine="567"/>
        <w:outlineLvl w:val="0"/>
        <w:rPr>
          <w:sz w:val="28"/>
          <w:szCs w:val="28"/>
          <w:lang w:val="pt-BR"/>
        </w:rPr>
      </w:pPr>
      <w:bookmarkStart w:id="7" w:name="_Toc450634754"/>
      <w:bookmarkStart w:id="8" w:name="_Toc450636931"/>
      <w:bookmarkStart w:id="9" w:name="_Toc452474256"/>
      <w:r>
        <w:rPr>
          <w:sz w:val="28"/>
          <w:szCs w:val="28"/>
          <w:lang w:val="pt-BR"/>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w:t>
      </w:r>
      <w:bookmarkEnd w:id="7"/>
      <w:bookmarkEnd w:id="8"/>
      <w:bookmarkEnd w:id="9"/>
      <w:r>
        <w:rPr>
          <w:sz w:val="28"/>
          <w:szCs w:val="28"/>
          <w:lang w:val="pt-BR"/>
        </w:rPr>
        <w:t xml:space="preserve"> </w:t>
      </w:r>
    </w:p>
    <w:p w:rsidR="003B0DE5" w:rsidRDefault="003B0DE5" w:rsidP="003B0DE5">
      <w:pPr>
        <w:spacing w:before="120"/>
        <w:ind w:firstLine="567"/>
        <w:rPr>
          <w:sz w:val="28"/>
          <w:szCs w:val="28"/>
          <w:lang w:val="pt-BR"/>
        </w:rPr>
      </w:pPr>
      <w:r>
        <w:rPr>
          <w:sz w:val="28"/>
          <w:szCs w:val="28"/>
          <w:lang w:val="pt-BR"/>
        </w:rPr>
        <w:t xml:space="preserve">- </w:t>
      </w:r>
      <w:r>
        <w:rPr>
          <w:sz w:val="28"/>
          <w:szCs w:val="28"/>
          <w:lang w:val="vi-VN"/>
        </w:rPr>
        <w:t>Sở Văn hóa, Thể thao và Du lịch có trách nhiệm trình Chủ tịch Ủy ban nhân dân cấp tỉnh cấp giấy phép khai quật khẩn cấp</w:t>
      </w:r>
      <w:r>
        <w:rPr>
          <w:sz w:val="28"/>
          <w:szCs w:val="28"/>
          <w:lang w:val="pt-BR"/>
        </w:rPr>
        <w:t>.</w:t>
      </w:r>
    </w:p>
    <w:p w:rsidR="003B0DE5" w:rsidRDefault="003B0DE5" w:rsidP="003B0DE5">
      <w:pPr>
        <w:spacing w:before="120"/>
        <w:ind w:firstLine="567"/>
        <w:rPr>
          <w:sz w:val="28"/>
          <w:szCs w:val="28"/>
          <w:lang w:val="vi-VN"/>
        </w:rPr>
      </w:pPr>
      <w:r>
        <w:rPr>
          <w:sz w:val="28"/>
          <w:szCs w:val="28"/>
          <w:lang w:val="pt-BR"/>
        </w:rPr>
        <w:t xml:space="preserve">- Chủ tịch Ủy ban nhân dân cấp tỉnh </w:t>
      </w:r>
      <w:r>
        <w:rPr>
          <w:sz w:val="28"/>
          <w:szCs w:val="28"/>
          <w:lang w:val="vi-VN"/>
        </w:rPr>
        <w:t>cấp giấy phép khai quật khẩn cấp và báo cáo ngay cho Bộ Văn hóa, Thể thao và Du lịch. Thời hạn cấp giấy phép khai quật khẩn cấp không quá 03 ngày, kể từ ngày nhận được văn bản đề nghị; trường hợp không cấp giấy phép, phải nêu rõ lý do bằng văn bản.</w:t>
      </w:r>
    </w:p>
    <w:p w:rsidR="003B0DE5" w:rsidRDefault="003B0DE5" w:rsidP="003B0DE5">
      <w:pPr>
        <w:spacing w:before="120"/>
        <w:ind w:firstLine="567"/>
        <w:rPr>
          <w:i/>
          <w:sz w:val="28"/>
          <w:szCs w:val="28"/>
        </w:rPr>
      </w:pPr>
      <w:r>
        <w:rPr>
          <w:i/>
          <w:sz w:val="28"/>
          <w:szCs w:val="28"/>
        </w:rPr>
        <w:t>b. Cách thức thực hiện:</w:t>
      </w:r>
    </w:p>
    <w:p w:rsidR="003B0DE5" w:rsidRDefault="003B0DE5" w:rsidP="003B0DE5">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3B0DE5" w:rsidRDefault="003B0DE5" w:rsidP="003B0DE5">
      <w:pPr>
        <w:spacing w:before="120"/>
        <w:ind w:firstLine="567"/>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3B0DE5" w:rsidRDefault="003B0DE5" w:rsidP="003B0DE5">
      <w:pPr>
        <w:spacing w:before="120"/>
        <w:ind w:firstLine="567"/>
        <w:rPr>
          <w:sz w:val="28"/>
          <w:szCs w:val="28"/>
        </w:rPr>
      </w:pPr>
      <w:r>
        <w:rPr>
          <w:sz w:val="28"/>
          <w:szCs w:val="28"/>
        </w:rPr>
        <w:t>- Điện thoại : 0210.3 992.583</w:t>
      </w:r>
    </w:p>
    <w:p w:rsidR="003B0DE5" w:rsidRDefault="003B0DE5" w:rsidP="003B0DE5">
      <w:pPr>
        <w:spacing w:before="120"/>
        <w:ind w:firstLine="567"/>
        <w:rPr>
          <w:i/>
          <w:sz w:val="28"/>
          <w:szCs w:val="28"/>
          <w:lang w:val="vi-VN"/>
        </w:rPr>
      </w:pPr>
      <w:r>
        <w:rPr>
          <w:i/>
          <w:sz w:val="28"/>
          <w:szCs w:val="28"/>
        </w:rPr>
        <w:t xml:space="preserve">c. </w:t>
      </w:r>
      <w:r>
        <w:rPr>
          <w:i/>
          <w:sz w:val="28"/>
          <w:szCs w:val="28"/>
          <w:lang w:val="pt-BR"/>
        </w:rPr>
        <w:t xml:space="preserve"> </w:t>
      </w:r>
      <w:r>
        <w:rPr>
          <w:i/>
          <w:sz w:val="28"/>
          <w:szCs w:val="28"/>
          <w:lang w:val="vi-VN"/>
        </w:rPr>
        <w:t>Thành phần, số lượng hồ sơ:</w:t>
      </w:r>
    </w:p>
    <w:p w:rsidR="003B0DE5" w:rsidRDefault="003B0DE5" w:rsidP="003B0DE5">
      <w:pPr>
        <w:spacing w:before="120"/>
        <w:ind w:firstLine="567"/>
        <w:rPr>
          <w:sz w:val="28"/>
          <w:szCs w:val="28"/>
          <w:lang w:val="vi-VN"/>
        </w:rPr>
      </w:pPr>
      <w:r>
        <w:rPr>
          <w:sz w:val="28"/>
          <w:szCs w:val="28"/>
          <w:lang w:val="vi-VN"/>
        </w:rPr>
        <w:t>- Thành phần hồ sơ: Chưa quy định.</w:t>
      </w:r>
    </w:p>
    <w:p w:rsidR="003B0DE5" w:rsidRDefault="003B0DE5" w:rsidP="003B0DE5">
      <w:pPr>
        <w:spacing w:before="120"/>
        <w:ind w:firstLine="567"/>
        <w:rPr>
          <w:sz w:val="28"/>
          <w:szCs w:val="28"/>
          <w:lang w:val="vi-VN"/>
        </w:rPr>
      </w:pPr>
      <w:r>
        <w:rPr>
          <w:sz w:val="28"/>
          <w:szCs w:val="28"/>
          <w:lang w:val="vi-VN"/>
        </w:rPr>
        <w:t>- Số lượng hồ sơ: 01 (bộ).</w:t>
      </w:r>
    </w:p>
    <w:p w:rsidR="003B0DE5" w:rsidRDefault="003B0DE5" w:rsidP="003B0DE5">
      <w:pPr>
        <w:spacing w:before="120"/>
        <w:ind w:firstLine="567"/>
        <w:rPr>
          <w:spacing w:val="-2"/>
          <w:sz w:val="28"/>
          <w:szCs w:val="28"/>
          <w:lang w:val="vi-VN"/>
        </w:rPr>
      </w:pPr>
      <w:r>
        <w:rPr>
          <w:i/>
          <w:spacing w:val="-2"/>
          <w:sz w:val="28"/>
          <w:szCs w:val="28"/>
          <w:lang w:val="vi-VN"/>
        </w:rPr>
        <w:t>d. Thời hạn giải quyết:</w:t>
      </w:r>
      <w:r>
        <w:rPr>
          <w:spacing w:val="-2"/>
          <w:sz w:val="28"/>
          <w:szCs w:val="28"/>
          <w:lang w:val="vi-VN"/>
        </w:rPr>
        <w:t xml:space="preserve"> Không quá </w:t>
      </w:r>
      <w:r>
        <w:rPr>
          <w:spacing w:val="-2"/>
          <w:sz w:val="28"/>
          <w:szCs w:val="28"/>
          <w:lang w:val="pt-BR"/>
        </w:rPr>
        <w:t>03 ngày kể từ ngày nhận được văn bản đề nghị.</w:t>
      </w:r>
    </w:p>
    <w:p w:rsidR="003B0DE5" w:rsidRDefault="003B0DE5" w:rsidP="003B0DE5">
      <w:pPr>
        <w:spacing w:before="120"/>
        <w:ind w:firstLine="567"/>
        <w:rPr>
          <w:sz w:val="28"/>
          <w:szCs w:val="28"/>
          <w:lang w:val="vi-VN"/>
        </w:rPr>
      </w:pPr>
      <w:r>
        <w:rPr>
          <w:i/>
          <w:sz w:val="28"/>
          <w:szCs w:val="28"/>
          <w:lang w:val="vi-VN"/>
        </w:rPr>
        <w:t>đ. Đối tượng thực hiện thủ tục hành chính:</w:t>
      </w:r>
      <w:r>
        <w:rPr>
          <w:sz w:val="28"/>
          <w:szCs w:val="28"/>
          <w:lang w:val="vi-VN"/>
        </w:rPr>
        <w:t xml:space="preserve"> Tổ chức</w:t>
      </w:r>
    </w:p>
    <w:p w:rsidR="003B0DE5" w:rsidRDefault="003B0DE5" w:rsidP="003B0DE5">
      <w:pPr>
        <w:widowControl w:val="0"/>
        <w:spacing w:before="120"/>
        <w:ind w:firstLine="567"/>
        <w:rPr>
          <w:i/>
          <w:sz w:val="28"/>
          <w:szCs w:val="28"/>
          <w:lang w:val="vi-VN"/>
        </w:rPr>
      </w:pPr>
      <w:r>
        <w:rPr>
          <w:i/>
          <w:sz w:val="28"/>
          <w:szCs w:val="28"/>
          <w:lang w:val="vi-VN"/>
        </w:rPr>
        <w:t xml:space="preserve">e. Cơ quan thực hiện thủ tục hành chính: </w:t>
      </w:r>
    </w:p>
    <w:p w:rsidR="003B0DE5" w:rsidRDefault="003B0DE5" w:rsidP="003B0DE5">
      <w:pPr>
        <w:widowControl w:val="0"/>
        <w:spacing w:before="120"/>
        <w:ind w:firstLine="567"/>
        <w:rPr>
          <w:sz w:val="28"/>
          <w:szCs w:val="28"/>
          <w:lang w:val="vi-VN"/>
        </w:rPr>
      </w:pPr>
      <w:r>
        <w:rPr>
          <w:sz w:val="28"/>
          <w:szCs w:val="28"/>
          <w:lang w:val="vi-VN"/>
        </w:rPr>
        <w:t>- Cơ quan có thẩm quyền quyết định: Ủy ban nhân dân cấp tỉnh.</w:t>
      </w:r>
    </w:p>
    <w:p w:rsidR="003B0DE5" w:rsidRDefault="003B0DE5" w:rsidP="003B0DE5">
      <w:pPr>
        <w:widowControl w:val="0"/>
        <w:spacing w:before="120"/>
        <w:ind w:firstLine="567"/>
        <w:rPr>
          <w:sz w:val="28"/>
          <w:szCs w:val="28"/>
          <w:lang w:val="vi-VN"/>
        </w:rPr>
      </w:pPr>
      <w:r>
        <w:rPr>
          <w:sz w:val="28"/>
          <w:szCs w:val="28"/>
          <w:lang w:val="vi-VN"/>
        </w:rPr>
        <w:t>- Cơ quan trực tiếp thực hiện TTHC: Sở Văn hóa, Thể thao và Du lịch.</w:t>
      </w:r>
    </w:p>
    <w:p w:rsidR="003B0DE5" w:rsidRDefault="003B0DE5" w:rsidP="003B0DE5">
      <w:pPr>
        <w:widowControl w:val="0"/>
        <w:spacing w:before="120"/>
        <w:ind w:firstLine="567"/>
        <w:rPr>
          <w:sz w:val="28"/>
          <w:szCs w:val="28"/>
          <w:lang w:val="vi-VN"/>
        </w:rPr>
      </w:pPr>
      <w:r>
        <w:rPr>
          <w:rFonts w:eastAsia="Times New Roman"/>
          <w:i/>
          <w:sz w:val="28"/>
          <w:szCs w:val="28"/>
          <w:lang w:val="vi-VN"/>
        </w:rPr>
        <w:t>g. Kết quả thực hiện thủ tục hành chính:</w:t>
      </w:r>
      <w:r>
        <w:rPr>
          <w:sz w:val="28"/>
          <w:szCs w:val="28"/>
          <w:lang w:val="vi-VN"/>
        </w:rPr>
        <w:t xml:space="preserve"> Quyết định hành chính.      </w:t>
      </w:r>
    </w:p>
    <w:p w:rsidR="003B0DE5" w:rsidRDefault="003B0DE5" w:rsidP="003B0DE5">
      <w:pPr>
        <w:spacing w:before="120"/>
        <w:ind w:firstLine="567"/>
        <w:rPr>
          <w:sz w:val="28"/>
          <w:szCs w:val="28"/>
          <w:lang w:val="vi-VN"/>
        </w:rPr>
      </w:pPr>
      <w:r>
        <w:rPr>
          <w:sz w:val="28"/>
          <w:szCs w:val="28"/>
          <w:lang w:val="vi-VN"/>
        </w:rPr>
        <w:t xml:space="preserve">h. </w:t>
      </w:r>
      <w:r>
        <w:rPr>
          <w:i/>
          <w:sz w:val="28"/>
          <w:szCs w:val="28"/>
          <w:lang w:val="vi-VN"/>
        </w:rPr>
        <w:t>Phí,</w:t>
      </w:r>
      <w:r>
        <w:rPr>
          <w:sz w:val="28"/>
          <w:szCs w:val="28"/>
          <w:lang w:val="vi-VN"/>
        </w:rPr>
        <w:t xml:space="preserve"> </w:t>
      </w:r>
      <w:r>
        <w:rPr>
          <w:i/>
          <w:sz w:val="28"/>
          <w:szCs w:val="28"/>
          <w:lang w:val="vi-VN"/>
        </w:rPr>
        <w:t>lệ phí:</w:t>
      </w:r>
      <w:r>
        <w:rPr>
          <w:sz w:val="28"/>
          <w:szCs w:val="28"/>
          <w:lang w:val="vi-VN"/>
        </w:rPr>
        <w:t xml:space="preserve"> Không.        </w:t>
      </w:r>
    </w:p>
    <w:p w:rsidR="003B0DE5" w:rsidRDefault="003B0DE5" w:rsidP="003B0DE5">
      <w:pPr>
        <w:pStyle w:val="NormalWeb"/>
        <w:spacing w:before="120" w:beforeAutospacing="0" w:after="0" w:afterAutospacing="0" w:line="240" w:lineRule="auto"/>
        <w:ind w:firstLine="567"/>
        <w:rPr>
          <w:sz w:val="28"/>
          <w:szCs w:val="28"/>
          <w:lang w:val="vi-VN"/>
        </w:rPr>
      </w:pPr>
      <w:r>
        <w:rPr>
          <w:i/>
          <w:sz w:val="28"/>
          <w:szCs w:val="28"/>
          <w:lang w:val="vi-VN"/>
        </w:rPr>
        <w:t>i. Tên mẫu đơn, mẫu tờ khai:</w:t>
      </w:r>
      <w:r>
        <w:rPr>
          <w:sz w:val="28"/>
          <w:szCs w:val="28"/>
          <w:lang w:val="vi-VN"/>
        </w:rPr>
        <w:t xml:space="preserve"> Chưa quy định.</w:t>
      </w:r>
    </w:p>
    <w:p w:rsidR="003B0DE5" w:rsidRDefault="003B0DE5" w:rsidP="003B0DE5">
      <w:pPr>
        <w:spacing w:before="120"/>
        <w:ind w:firstLine="567"/>
        <w:rPr>
          <w:rFonts w:eastAsia="Times New Roman"/>
          <w:i/>
          <w:sz w:val="28"/>
          <w:szCs w:val="28"/>
          <w:lang w:val="vi-VN"/>
        </w:rPr>
      </w:pPr>
      <w:r>
        <w:rPr>
          <w:rFonts w:eastAsia="Times New Roman"/>
          <w:i/>
          <w:sz w:val="28"/>
          <w:szCs w:val="28"/>
          <w:lang w:val="vi-VN"/>
        </w:rPr>
        <w:t>k. Yêu cầu, điều kiện thực hiện thủ tục hành chính:</w:t>
      </w:r>
    </w:p>
    <w:p w:rsidR="003B0DE5" w:rsidRDefault="003B0DE5" w:rsidP="003B0DE5">
      <w:pPr>
        <w:spacing w:before="120"/>
        <w:ind w:firstLine="567"/>
        <w:rPr>
          <w:sz w:val="28"/>
          <w:szCs w:val="28"/>
          <w:lang w:val="vi-VN"/>
        </w:rPr>
      </w:pPr>
      <w:r>
        <w:rPr>
          <w:sz w:val="28"/>
          <w:szCs w:val="28"/>
          <w:lang w:val="vi-VN"/>
        </w:rPr>
        <w:t>(1) Trong trường hợp địa điểm khảo cổ đang bị hủy hoại hoặc có nguy cơ bị hủy hoại.</w:t>
      </w:r>
    </w:p>
    <w:p w:rsidR="003B0DE5" w:rsidRDefault="003B0DE5" w:rsidP="003B0DE5">
      <w:pPr>
        <w:spacing w:before="120"/>
        <w:ind w:firstLine="567"/>
        <w:rPr>
          <w:sz w:val="28"/>
          <w:szCs w:val="28"/>
          <w:lang w:val="vi-VN"/>
        </w:rPr>
      </w:pPr>
      <w:r>
        <w:rPr>
          <w:sz w:val="28"/>
          <w:szCs w:val="28"/>
          <w:lang w:val="vi-VN"/>
        </w:rPr>
        <w:t>(2) Các tổ chức được thăm dò, khai quật khảo cổ:</w:t>
      </w:r>
    </w:p>
    <w:p w:rsidR="003B0DE5" w:rsidRDefault="003B0DE5" w:rsidP="003B0DE5">
      <w:pPr>
        <w:pStyle w:val="NormalWeb"/>
        <w:spacing w:before="120" w:beforeAutospacing="0" w:after="0" w:afterAutospacing="0" w:line="240" w:lineRule="auto"/>
        <w:ind w:firstLine="567"/>
        <w:rPr>
          <w:sz w:val="28"/>
          <w:szCs w:val="28"/>
          <w:lang w:val="vi-VN"/>
        </w:rPr>
      </w:pPr>
      <w:r>
        <w:rPr>
          <w:sz w:val="28"/>
          <w:szCs w:val="28"/>
          <w:lang w:val="vi-VN"/>
        </w:rPr>
        <w:t>+ Cơ quan nghiên cứu khảo cổ học của Nhà nước.</w:t>
      </w:r>
    </w:p>
    <w:p w:rsidR="003B0DE5" w:rsidRDefault="003B0DE5" w:rsidP="003B0DE5">
      <w:pPr>
        <w:pStyle w:val="NormalWeb"/>
        <w:spacing w:before="120" w:beforeAutospacing="0" w:after="0" w:afterAutospacing="0" w:line="240" w:lineRule="auto"/>
        <w:ind w:firstLine="567"/>
        <w:rPr>
          <w:sz w:val="28"/>
          <w:szCs w:val="28"/>
          <w:lang w:val="vi-VN"/>
        </w:rPr>
      </w:pPr>
      <w:r>
        <w:rPr>
          <w:sz w:val="28"/>
          <w:szCs w:val="28"/>
          <w:lang w:val="vi-VN"/>
        </w:rPr>
        <w:t>+ Trường đại học có bộ môn khảo cổ học.</w:t>
      </w:r>
    </w:p>
    <w:p w:rsidR="003B0DE5" w:rsidRDefault="003B0DE5" w:rsidP="003B0DE5">
      <w:pPr>
        <w:pStyle w:val="NormalWeb"/>
        <w:spacing w:before="120" w:beforeAutospacing="0" w:after="0" w:afterAutospacing="0" w:line="240" w:lineRule="auto"/>
        <w:ind w:firstLine="567"/>
        <w:rPr>
          <w:spacing w:val="-12"/>
          <w:sz w:val="28"/>
          <w:szCs w:val="28"/>
          <w:lang w:val="vi-VN"/>
        </w:rPr>
      </w:pPr>
      <w:r>
        <w:rPr>
          <w:spacing w:val="-12"/>
          <w:sz w:val="28"/>
          <w:szCs w:val="28"/>
          <w:lang w:val="vi-VN"/>
        </w:rPr>
        <w:t>+ Bảo tàng và Ban Quản lý di tích của Nhà nước có chức năng nghiên cứu khảo cổ.</w:t>
      </w:r>
    </w:p>
    <w:p w:rsidR="003B0DE5" w:rsidRDefault="003B0DE5" w:rsidP="003B0DE5">
      <w:pPr>
        <w:spacing w:before="120"/>
        <w:ind w:firstLine="567"/>
        <w:rPr>
          <w:sz w:val="28"/>
          <w:szCs w:val="28"/>
          <w:lang w:val="vi-VN"/>
        </w:rPr>
      </w:pPr>
      <w:r>
        <w:rPr>
          <w:sz w:val="28"/>
          <w:szCs w:val="28"/>
          <w:lang w:val="vi-VN"/>
        </w:rPr>
        <w:t>+ Hội có chức năng nghiên cứu khảo cổ ở trung ương.</w:t>
      </w:r>
    </w:p>
    <w:p w:rsidR="003B0DE5" w:rsidRDefault="003B0DE5" w:rsidP="003B0DE5">
      <w:pPr>
        <w:spacing w:before="120"/>
        <w:ind w:firstLine="567"/>
        <w:rPr>
          <w:spacing w:val="-8"/>
          <w:sz w:val="28"/>
          <w:szCs w:val="28"/>
          <w:lang w:val="vi-VN"/>
        </w:rPr>
      </w:pPr>
      <w:r>
        <w:rPr>
          <w:spacing w:val="-8"/>
          <w:sz w:val="28"/>
          <w:szCs w:val="28"/>
          <w:lang w:val="vi-VN"/>
        </w:rPr>
        <w:lastRenderedPageBreak/>
        <w:t>(3) Người chủ trì cuộc thăm dò, khai quật khảo cổ phải có các điều kiện sau đây:</w:t>
      </w:r>
    </w:p>
    <w:p w:rsidR="003B0DE5" w:rsidRDefault="003B0DE5" w:rsidP="003B0DE5">
      <w:pPr>
        <w:spacing w:before="120"/>
        <w:ind w:firstLine="567"/>
        <w:rPr>
          <w:sz w:val="28"/>
          <w:szCs w:val="28"/>
          <w:lang w:val="vi-VN"/>
        </w:rPr>
      </w:pPr>
      <w:r>
        <w:rPr>
          <w:sz w:val="28"/>
          <w:szCs w:val="28"/>
          <w:lang w:val="vi-VN"/>
        </w:rPr>
        <w:t>+ Có bằng cử nhân chuyên ngành khảo cổ học hoặc bằng cử nhân chuyên ngành khác có liên quan đến khảo cổ học;</w:t>
      </w:r>
    </w:p>
    <w:p w:rsidR="003B0DE5" w:rsidRDefault="003B0DE5" w:rsidP="003B0DE5">
      <w:pPr>
        <w:spacing w:before="120"/>
        <w:ind w:firstLine="567"/>
        <w:rPr>
          <w:sz w:val="28"/>
          <w:szCs w:val="28"/>
          <w:lang w:val="vi-VN"/>
        </w:rPr>
      </w:pPr>
      <w:r>
        <w:rPr>
          <w:sz w:val="28"/>
          <w:szCs w:val="28"/>
          <w:lang w:val="vi-VN"/>
        </w:rPr>
        <w:t>+ Có ít nhất 05 năm trực tiếp làm công tác khảo cổ;</w:t>
      </w:r>
    </w:p>
    <w:p w:rsidR="003B0DE5" w:rsidRDefault="003B0DE5" w:rsidP="003B0DE5">
      <w:pPr>
        <w:spacing w:before="120"/>
        <w:ind w:firstLine="567"/>
        <w:rPr>
          <w:sz w:val="28"/>
          <w:szCs w:val="28"/>
          <w:lang w:val="vi-VN"/>
        </w:rPr>
      </w:pPr>
      <w:r>
        <w:rPr>
          <w:sz w:val="28"/>
          <w:szCs w:val="28"/>
          <w:lang w:val="vi-VN"/>
        </w:rPr>
        <w:t>+ Được tổ chức xin phép thăm dò, khai quật khảo cổ đề nghị bằng văn bản với Bộ Văn hóa, Thể thao và Du lịch.</w:t>
      </w:r>
    </w:p>
    <w:p w:rsidR="003B0DE5" w:rsidRDefault="003B0DE5" w:rsidP="003B0DE5">
      <w:pPr>
        <w:spacing w:before="120"/>
        <w:ind w:firstLine="567"/>
        <w:rPr>
          <w:sz w:val="28"/>
          <w:szCs w:val="28"/>
          <w:lang w:val="vi-VN"/>
        </w:rPr>
      </w:pPr>
      <w:r>
        <w:rPr>
          <w:sz w:val="28"/>
          <w:szCs w:val="28"/>
          <w:lang w:val="vi-VN"/>
        </w:rPr>
        <w:t>Trong trường hợp cần thay đổi người chủ trì thì phải được sự đồng ý bằng văn bản của Bộ trưởng Bộ Văn hóa, Thể thao và Du lịch.</w:t>
      </w:r>
    </w:p>
    <w:p w:rsidR="003B0DE5" w:rsidRDefault="003B0DE5" w:rsidP="003B0DE5">
      <w:pPr>
        <w:spacing w:before="120"/>
        <w:ind w:firstLine="567"/>
        <w:rPr>
          <w:sz w:val="28"/>
          <w:szCs w:val="28"/>
          <w:lang w:val="vi-VN"/>
        </w:rPr>
      </w:pPr>
      <w:r>
        <w:rPr>
          <w:i/>
          <w:sz w:val="28"/>
          <w:szCs w:val="28"/>
          <w:lang w:val="vi-VN"/>
        </w:rPr>
        <w:t>l.</w:t>
      </w:r>
      <w:r>
        <w:rPr>
          <w:sz w:val="28"/>
          <w:szCs w:val="28"/>
          <w:lang w:val="vi-VN"/>
        </w:rPr>
        <w:t xml:space="preserve"> </w:t>
      </w:r>
      <w:r>
        <w:rPr>
          <w:i/>
          <w:sz w:val="28"/>
          <w:szCs w:val="28"/>
          <w:lang w:val="vi-VN"/>
        </w:rPr>
        <w:t>Căn cứ pháp lý của thủ tục hành chính</w:t>
      </w:r>
      <w:r>
        <w:rPr>
          <w:sz w:val="28"/>
          <w:szCs w:val="28"/>
          <w:lang w:val="vi-VN"/>
        </w:rPr>
        <w:t>:</w:t>
      </w:r>
    </w:p>
    <w:p w:rsidR="003B0DE5" w:rsidRDefault="003B0DE5" w:rsidP="003B0DE5">
      <w:pPr>
        <w:spacing w:before="120"/>
        <w:ind w:firstLine="567"/>
        <w:rPr>
          <w:sz w:val="28"/>
          <w:szCs w:val="28"/>
          <w:lang w:val="vi-VN"/>
        </w:rPr>
      </w:pPr>
      <w:r>
        <w:rPr>
          <w:sz w:val="28"/>
          <w:szCs w:val="28"/>
          <w:lang w:val="vi-VN"/>
        </w:rPr>
        <w:t>- Luật di sản văn hóa số 28/2001/QH10 ngày 29/6/2001. Có hiệu lực từ ngày 01/01/2002;</w:t>
      </w:r>
    </w:p>
    <w:p w:rsidR="003B0DE5" w:rsidRDefault="003B0DE5" w:rsidP="003B0DE5">
      <w:pPr>
        <w:spacing w:before="120"/>
        <w:ind w:firstLine="567"/>
        <w:rPr>
          <w:sz w:val="28"/>
          <w:szCs w:val="28"/>
          <w:lang w:val="vi-VN"/>
        </w:rPr>
      </w:pPr>
      <w:r>
        <w:rPr>
          <w:sz w:val="28"/>
          <w:szCs w:val="28"/>
          <w:lang w:val="vi-VN"/>
        </w:rPr>
        <w:t>- Luật sửa đổi, bổ sung một số điều của Luật di sản văn hóa số 32/2009/QH12 ngày 18/6/2009. Có hiệu lực từ ngày 01/01/2010;</w:t>
      </w:r>
    </w:p>
    <w:p w:rsidR="003B0DE5" w:rsidRDefault="003B0DE5" w:rsidP="003B0DE5">
      <w:pPr>
        <w:spacing w:before="120"/>
        <w:ind w:firstLine="567"/>
        <w:rPr>
          <w:sz w:val="28"/>
          <w:szCs w:val="28"/>
          <w:lang w:val="vi-VN"/>
        </w:rPr>
      </w:pPr>
      <w:r>
        <w:rPr>
          <w:sz w:val="28"/>
          <w:szCs w:val="28"/>
          <w:lang w:val="vi-VN"/>
        </w:rPr>
        <w:t>- Nghị định số 98/2010/NĐ-CP ngày 21/9/2010 của Chính phủ quy định chi tiết thi hành một số điều của Luật di sản văn hóa và Luật sửa đổi, bổ sung một số điều của Luật di sản văn hóa. Có hiệu lực từ ngày 06/11/2010;</w:t>
      </w:r>
    </w:p>
    <w:p w:rsidR="003B0DE5" w:rsidRDefault="003B0DE5" w:rsidP="003B0DE5">
      <w:pPr>
        <w:spacing w:before="120"/>
        <w:ind w:firstLine="567"/>
        <w:rPr>
          <w:sz w:val="28"/>
          <w:szCs w:val="28"/>
          <w:lang w:val="vi-VN"/>
        </w:rPr>
      </w:pPr>
      <w:r>
        <w:rPr>
          <w:sz w:val="28"/>
          <w:szCs w:val="28"/>
          <w:lang w:val="vi-VN"/>
        </w:rPr>
        <w:t>- Nghị định số 01/2012/NĐ-CP ngày 04/01/2012 của Chính phủ sửa đổi, bổ sung, thay thế hoặc bãi bỏ, hủy bỏ các quy định có liên quan đến thủ tục hành chính thuộc chức năng quản lý của Bộ Văn hóa, Thể thao và Du lịch. Có hiệu lực từ ngày 27/02/2012.</w:t>
      </w:r>
    </w:p>
    <w:bookmarkEnd w:id="2"/>
    <w:p w:rsidR="005E1D1A" w:rsidRDefault="005E1D1A"/>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E5"/>
    <w:rsid w:val="003B0DE5"/>
    <w:rsid w:val="005E1D1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3B0DE5"/>
    <w:pPr>
      <w:spacing w:after="160" w:line="240" w:lineRule="exact"/>
    </w:pPr>
    <w:rPr>
      <w:rFonts w:ascii="Verdana" w:eastAsia="Times New Roman" w:hAnsi="Verdana" w:cs="Verdana"/>
      <w:sz w:val="20"/>
      <w:szCs w:val="20"/>
    </w:rPr>
  </w:style>
  <w:style w:type="paragraph" w:styleId="NormalWeb">
    <w:name w:val="Normal (Web)"/>
    <w:basedOn w:val="Normal"/>
    <w:rsid w:val="003B0DE5"/>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3B0DE5"/>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3B0DE5"/>
    <w:pPr>
      <w:spacing w:after="160" w:line="240" w:lineRule="exact"/>
    </w:pPr>
    <w:rPr>
      <w:rFonts w:ascii="Verdana" w:eastAsia="Times New Roman" w:hAnsi="Verdana" w:cs="Verdana"/>
      <w:sz w:val="20"/>
      <w:szCs w:val="20"/>
    </w:rPr>
  </w:style>
  <w:style w:type="paragraph" w:styleId="NormalWeb">
    <w:name w:val="Normal (Web)"/>
    <w:basedOn w:val="Normal"/>
    <w:rsid w:val="003B0DE5"/>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3B0DE5"/>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2016-06-22T02:23:00Z</dcterms:created>
  <dcterms:modified xsi:type="dcterms:W3CDTF">2016-06-22T02:23:00Z</dcterms:modified>
</cp:coreProperties>
</file>